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</w:tblGrid>
      <w:tr w:rsidR="00AD72E6" w:rsidRPr="00AD72E6" w:rsidTr="00F36BD4">
        <w:trPr>
          <w:trHeight w:val="525"/>
          <w:tblCellSpacing w:w="0" w:type="dxa"/>
        </w:trPr>
        <w:tc>
          <w:tcPr>
            <w:tcW w:w="9510" w:type="dxa"/>
            <w:shd w:val="clear" w:color="auto" w:fill="FFFFFF"/>
            <w:vAlign w:val="bottom"/>
            <w:hideMark/>
          </w:tcPr>
          <w:p w:rsidR="00F36BD4" w:rsidRDefault="00F36BD4" w:rsidP="00F36BD4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proofErr w:type="spellStart"/>
            <w:r>
              <w:rPr>
                <w:rFonts w:ascii="Sylfaen" w:hAnsi="Sylfaen" w:cs="Sylfaen"/>
                <w:i/>
                <w:iCs/>
                <w:color w:val="000000"/>
                <w:sz w:val="18"/>
                <w:szCs w:val="18"/>
              </w:rPr>
              <w:t>Հավելված</w:t>
            </w:r>
            <w:proofErr w:type="spellEnd"/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</w:t>
            </w:r>
            <w:r>
              <w:rPr>
                <w:rFonts w:ascii="Sylfaen" w:hAnsi="Sylfaen" w:cs="Sylfaen"/>
                <w:i/>
                <w:iCs/>
                <w:color w:val="000000"/>
                <w:sz w:val="18"/>
                <w:szCs w:val="18"/>
              </w:rPr>
              <w:t>ՀՀ</w:t>
            </w:r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iCs/>
                <w:color w:val="000000"/>
                <w:sz w:val="18"/>
                <w:szCs w:val="18"/>
              </w:rPr>
              <w:t>Սյունիքի</w:t>
            </w:r>
            <w:proofErr w:type="spellEnd"/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iCs/>
                <w:color w:val="000000"/>
                <w:sz w:val="18"/>
                <w:szCs w:val="18"/>
              </w:rPr>
              <w:t>մարզի</w:t>
            </w:r>
            <w:proofErr w:type="spellEnd"/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iCs/>
                <w:color w:val="000000"/>
                <w:sz w:val="18"/>
                <w:szCs w:val="18"/>
              </w:rPr>
              <w:t>Սիսիանի</w:t>
            </w:r>
            <w:proofErr w:type="spellEnd"/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Sylfaen" w:hAnsi="Sylfaen" w:cs="Sylfaen"/>
                <w:i/>
                <w:iCs/>
                <w:color w:val="000000"/>
                <w:sz w:val="18"/>
                <w:szCs w:val="18"/>
              </w:rPr>
              <w:t>համայնքի</w:t>
            </w:r>
            <w:proofErr w:type="spellEnd"/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iCs/>
                <w:color w:val="000000"/>
                <w:sz w:val="18"/>
                <w:szCs w:val="18"/>
              </w:rPr>
              <w:t>ավագանու</w:t>
            </w:r>
            <w:proofErr w:type="spellEnd"/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 xml:space="preserve"> 2018</w:t>
            </w:r>
            <w:r>
              <w:rPr>
                <w:rFonts w:ascii="Sylfaen" w:hAnsi="Sylfaen" w:cs="Sylfaen"/>
                <w:i/>
                <w:iCs/>
                <w:color w:val="000000"/>
                <w:sz w:val="18"/>
                <w:szCs w:val="18"/>
              </w:rPr>
              <w:t>թ</w:t>
            </w:r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. ___________-</w:t>
            </w:r>
            <w:r>
              <w:rPr>
                <w:rFonts w:ascii="Sylfaen" w:hAnsi="Sylfaen" w:cs="Sylfaen"/>
                <w:i/>
                <w:iCs/>
                <w:color w:val="000000"/>
                <w:sz w:val="18"/>
                <w:szCs w:val="18"/>
              </w:rPr>
              <w:t>ի</w:t>
            </w:r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</w:t>
            </w:r>
            <w:proofErr w:type="spellStart"/>
            <w:r>
              <w:rPr>
                <w:rFonts w:ascii="Sylfaen" w:hAnsi="Sylfaen" w:cs="Sylfaen"/>
                <w:i/>
                <w:iCs/>
                <w:color w:val="000000"/>
                <w:sz w:val="18"/>
                <w:szCs w:val="18"/>
              </w:rPr>
              <w:t>թիվ</w:t>
            </w:r>
            <w:proofErr w:type="spellEnd"/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 xml:space="preserve"> _______(</w:t>
            </w:r>
            <w:r>
              <w:rPr>
                <w:rFonts w:ascii="Sylfaen" w:hAnsi="Sylfaen" w:cs="Sylfaen"/>
                <w:i/>
                <w:iCs/>
                <w:color w:val="000000"/>
                <w:sz w:val="18"/>
                <w:szCs w:val="18"/>
              </w:rPr>
              <w:t>Ա</w:t>
            </w:r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hAnsi="Sylfaen" w:cs="Sylfaen"/>
                <w:i/>
                <w:iCs/>
                <w:color w:val="000000"/>
                <w:sz w:val="18"/>
                <w:szCs w:val="18"/>
              </w:rPr>
              <w:t>որոշման</w:t>
            </w:r>
            <w:proofErr w:type="spellEnd"/>
          </w:p>
          <w:p w:rsidR="00AD72E6" w:rsidRPr="00AD72E6" w:rsidRDefault="00AD72E6" w:rsidP="00AD72E6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</w:tbl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AD72E6">
        <w:rPr>
          <w:rFonts w:ascii="Arial Unicode" w:eastAsia="Times New Roman" w:hAnsi="Arial Unicode" w:cs="Times New Roman"/>
          <w:b/>
          <w:bCs/>
          <w:color w:val="000000"/>
          <w:sz w:val="21"/>
        </w:rPr>
        <w:t>Կ Ա Ր Գ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D72E6" w:rsidRPr="00AD72E6" w:rsidRDefault="002A5841" w:rsidP="00AD72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ՀՀ ՍՅՈՒՆԻՔԻ ՄԱՐԶԻ </w:t>
      </w:r>
      <w:r w:rsidR="00F36BD4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ՍԻՍԻԱՆԻ ՀԱՄԱՅՆՔԻ ՎԱՐՉԱԿԱՆ ՏԱՐԱԾՔՈՒՄ ԳՏՆՎՈՂ </w:t>
      </w:r>
      <w:r w:rsidR="00AD72E6" w:rsidRPr="00AD72E6">
        <w:rPr>
          <w:rFonts w:ascii="Arial Unicode" w:eastAsia="Times New Roman" w:hAnsi="Arial Unicode" w:cs="Times New Roman"/>
          <w:b/>
          <w:bCs/>
          <w:color w:val="000000"/>
          <w:sz w:val="21"/>
        </w:rPr>
        <w:t>ԱՐՈՏԱՎԱՅՐԵՐԻ ԵՎ ԽՈՏՀԱՐՔՆԵՐԻ ՕԳՏԱԳՈՐԾՄԱՆ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b/>
          <w:bCs/>
          <w:color w:val="000000"/>
          <w:sz w:val="21"/>
        </w:rPr>
        <w:t>I. ԸՆԴՀԱՆՈՒՐ ԴՐՈՒՅԹՆԵՐ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F36BD4">
        <w:rPr>
          <w:rFonts w:ascii="Arial Unicode" w:eastAsia="Times New Roman" w:hAnsi="Arial Unicode" w:cs="Times New Roman"/>
          <w:color w:val="000000"/>
          <w:sz w:val="21"/>
          <w:szCs w:val="21"/>
        </w:rPr>
        <w:t>Սիսիանի</w:t>
      </w:r>
      <w:proofErr w:type="spellEnd"/>
      <w:r w:rsidR="00F36BD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F36BD4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="00F36BD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F36BD4">
        <w:rPr>
          <w:rFonts w:ascii="Arial Unicode" w:eastAsia="Times New Roman" w:hAnsi="Arial Unicode" w:cs="Times New Roman"/>
          <w:color w:val="000000"/>
          <w:sz w:val="21"/>
          <w:szCs w:val="21"/>
        </w:rPr>
        <w:t>վարչական</w:t>
      </w:r>
      <w:proofErr w:type="spellEnd"/>
      <w:r w:rsidR="00F36BD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F36BD4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տարածքում</w:t>
      </w:r>
      <w:proofErr w:type="spellEnd"/>
      <w:r w:rsidR="00F36BD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F36BD4">
        <w:rPr>
          <w:rFonts w:ascii="Arial Unicode" w:eastAsia="Times New Roman" w:hAnsi="Arial Unicode" w:cs="Times New Roman"/>
          <w:color w:val="000000"/>
          <w:sz w:val="21"/>
          <w:szCs w:val="21"/>
        </w:rPr>
        <w:t>գտնվող</w:t>
      </w:r>
      <w:proofErr w:type="spellEnd"/>
      <w:r w:rsidR="00F36BD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="00F36BD4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="00F36BD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հանդիսացող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հողերի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գտնվող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խոտհարքների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արդյունավետ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կարգի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նպատակներն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խնդիրներն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AD72E6" w:rsidRPr="00AD72E6" w:rsidRDefault="002A5841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Սիսիանի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արոտավայրերի</w:t>
      </w:r>
      <w:proofErr w:type="spellEnd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խոտհարքների</w:t>
      </w:r>
      <w:proofErr w:type="spellEnd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պահպանության</w:t>
      </w:r>
      <w:proofErr w:type="spellEnd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կայուն</w:t>
      </w:r>
      <w:proofErr w:type="spellEnd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արդյունավետ</w:t>
      </w:r>
      <w:proofErr w:type="spellEnd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գործընթացներին</w:t>
      </w:r>
      <w:proofErr w:type="spellEnd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նպաստումը</w:t>
      </w:r>
      <w:proofErr w:type="spellEnd"/>
      <w:r w:rsidR="00AD72E6"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արոտավայրերի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խոտհարքների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բերքատվության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բարձրացման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վերականգնման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նպաստավոր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արոտավայրերի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խոտհարքների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որակական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բնութագրերի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բնապահպանական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վիճակի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վատթարացման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կանխումը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արոտավայրերի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խոտհարքների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սանիտարական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վիճակում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նպաստելը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օգտագործումը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կազմվում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պլան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հաշվի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առնելով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արածեցվող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կենդանիների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թվաքանակը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բերքատվությունը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կայուն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արդյունավետ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կիրառվում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արոտաշրջանառություն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սկզբունքներով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շրջանի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սկսվելն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բաժանվում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առանձին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արոտամասերի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արոտաբաժինների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որոշակի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հերթականությամբ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արածեցման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հերթականությունը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փոփոխվում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նախորդ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վերջին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արածեցված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արոտամասը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հաջորդ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թողնվում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«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հանգստի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»: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շրջանի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սկիզբը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ավարտը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ելնելով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կլիմայական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շրջանի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2A5841">
        <w:rPr>
          <w:rFonts w:ascii="Arial Unicode" w:eastAsia="Times New Roman" w:hAnsi="Arial Unicode" w:cs="Times New Roman"/>
          <w:color w:val="000000"/>
          <w:sz w:val="21"/>
          <w:szCs w:val="21"/>
        </w:rPr>
        <w:t>Սիսիանի</w:t>
      </w:r>
      <w:proofErr w:type="spellEnd"/>
      <w:r w:rsidR="002A58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2A5841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խոշոր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եղջերավոր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կենդանիների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210-240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մանր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եղջերավոր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կենդանիների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270-300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Միևնույն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արոտատարածքում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ամբողջական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բոլորապտույտով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արածեցումների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թիվն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ամբողջ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կիսաանապատային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չոր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տափաստանային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գոտիներում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2-3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տափաստանային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3-4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մարգագետնատափաստանային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հետանտառային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գոտիներում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4-5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ենթալպյան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5-6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ալպյան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3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8.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Կենդանիների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արածեցումն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սկսվում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գարնանը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բույսերի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վերաճն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սկսվելուց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15-18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երբ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բույսերը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հասել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հասունացման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արոտականաչի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բարձրությունը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հողի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մակերեսից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կիսաանապատային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չոր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տափաստանային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ալպյան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գոտիներում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6-8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տափաստանային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10-12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մարգագետնատափաստանային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հետանտառային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ենթալպյան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գոտիներում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12-15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բարձրություն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Մեծ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թեքություններում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(15</w:t>
      </w:r>
      <w:r w:rsidRPr="00AD72E6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</w:rPr>
        <w:t>0</w:t>
      </w:r>
      <w:r w:rsidRPr="00AD72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և </w:t>
      </w:r>
      <w:proofErr w:type="spellStart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>բարձր</w:t>
      </w:r>
      <w:proofErr w:type="spellEnd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), </w:t>
      </w:r>
      <w:proofErr w:type="spellStart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>որտեղ</w:t>
      </w:r>
      <w:proofErr w:type="spellEnd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>առկա</w:t>
      </w:r>
      <w:proofErr w:type="spellEnd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>հողատարման</w:t>
      </w:r>
      <w:proofErr w:type="spellEnd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(</w:t>
      </w:r>
      <w:proofErr w:type="spellStart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>էրոզիա</w:t>
      </w:r>
      <w:proofErr w:type="spellEnd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) </w:t>
      </w:r>
      <w:proofErr w:type="spellStart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>վտանգ</w:t>
      </w:r>
      <w:proofErr w:type="spellEnd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>բուսածածկը</w:t>
      </w:r>
      <w:proofErr w:type="spellEnd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>համեմատաբար</w:t>
      </w:r>
      <w:proofErr w:type="spellEnd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>թույլ</w:t>
      </w:r>
      <w:proofErr w:type="spellEnd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է, </w:t>
      </w:r>
      <w:proofErr w:type="spellStart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>արածեցումը</w:t>
      </w:r>
      <w:proofErr w:type="spellEnd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>կատարվում</w:t>
      </w:r>
      <w:proofErr w:type="spellEnd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Arial Unicode"/>
          <w:color w:val="000000"/>
          <w:sz w:val="21"/>
          <w:szCs w:val="21"/>
        </w:rPr>
        <w:t>սա</w:t>
      </w: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հմանված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10-12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անց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Կենդանիների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հատկացվող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արոտատարածքի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մակերեսը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ելնելով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թույլատրելի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բեռնվածությունից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թույլատրելի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բեռնվածությունն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արտահայտվում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հեկտարի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տեղաբաշխվող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անասնագլխաքանակով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որոշվում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բանաձևով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5"/>
        <w:gridCol w:w="514"/>
      </w:tblGrid>
      <w:tr w:rsidR="00AD72E6" w:rsidRPr="00AD72E6" w:rsidTr="00AD72E6">
        <w:trPr>
          <w:tblCellSpacing w:w="0" w:type="dxa"/>
        </w:trPr>
        <w:tc>
          <w:tcPr>
            <w:tcW w:w="1065" w:type="dxa"/>
            <w:vMerge w:val="restart"/>
            <w:shd w:val="clear" w:color="auto" w:fill="FFFFFF"/>
            <w:vAlign w:val="center"/>
            <w:hideMark/>
          </w:tcPr>
          <w:p w:rsidR="00AD72E6" w:rsidRPr="00AD72E6" w:rsidRDefault="00AD72E6" w:rsidP="00AD72E6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D72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ԱԹԲ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2E6" w:rsidRPr="00AD72E6" w:rsidRDefault="00AD72E6" w:rsidP="00AD72E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D72E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AD72E6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 xml:space="preserve"> </w:t>
            </w:r>
            <w:r w:rsidRPr="00AD72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</w:t>
            </w:r>
          </w:p>
        </w:tc>
      </w:tr>
      <w:tr w:rsidR="00AD72E6" w:rsidRPr="00AD72E6" w:rsidTr="00AD72E6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2E6" w:rsidRPr="00AD72E6" w:rsidRDefault="00AD72E6" w:rsidP="00AD72E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2E6" w:rsidRPr="00AD72E6" w:rsidRDefault="00AD72E6" w:rsidP="00AD72E6">
            <w:pPr>
              <w:spacing w:beforeAutospacing="1" w:after="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D72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——,</w:t>
            </w:r>
          </w:p>
        </w:tc>
      </w:tr>
      <w:tr w:rsidR="00AD72E6" w:rsidRPr="00AD72E6" w:rsidTr="00AD72E6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2E6" w:rsidRPr="00AD72E6" w:rsidRDefault="00AD72E6" w:rsidP="00AD72E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2E6" w:rsidRPr="00AD72E6" w:rsidRDefault="00AD72E6" w:rsidP="00AD72E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D72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 x Տ</w:t>
            </w:r>
          </w:p>
        </w:tc>
      </w:tr>
    </w:tbl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որում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ԱԹԲ-ն`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թույլատրելի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բեռնվածությունն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է,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Բ-ն` 1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բերքատվությունն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(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խոնավ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արոտականաչի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զանգվածը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կգ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Պ-ն` 1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անասնագլխաքանակի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օրվա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արոտակերի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կգ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Տ-ն`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շրջանի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օրերով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12.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բեռնվածության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կենդանու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գլխաքանակին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տարբեր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գյուղատնտեսական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կենդանիները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հավասարեցվում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գործակիցներով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կով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արտադրող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ցուլ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 1.0.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խոշոր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եղջերավոր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կենդանիների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սեռահասակային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կենդանի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 0.66.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մանր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եղջերավոր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կենդանի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 0.1: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13.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գլխաքանակի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ամբողջ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արոտատարածքը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կիսաանապատային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6-7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տափաստանային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2-2.5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մարգագետնատափաստանային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հետանտառային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գոտիներում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1.5-1.7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ենթալպյան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1-1.2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ալպյան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2-2.5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14.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արդյունավետ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եղանակը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հերթափոխային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համակարգված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արածեցումն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կիրառման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արոտատարածքը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բաժանել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արոտավանդակների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որոնց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մեծությունը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100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անասնագլխաքանակ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ընդգրկող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նախրի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կիսաանապատային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չոր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տափաստանային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40-60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տափաստանային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20-40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մարգագետնատափաստանային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հետանտառային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20-30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ենթալպյան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ալպյան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10-20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15.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Հերթափոխային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համակարգված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արոտատարածքը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բաժանվում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թվով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արոտավանդակների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ալպյան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 8-10.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ենթալպյան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 10-12.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մարգագետնատափաստանային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հետանտառային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գոտիներում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 12-16.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տափաստանային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 16-20.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կիսաանապատային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չոր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տափաստանային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գոտիներում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 20-40: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16.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Արոտավանդակներն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առաջինից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վերջինը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տեղադրվածության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հերթականությամբ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արոտավանդակների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ավարտը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որից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կենդանիները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դարձյալ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փոխադրվում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արոտավանդակ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սկսվում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հաջորդ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բոլորապտույտը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հերթականության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17.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Արածեցված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բույսերի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կայուն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վերաճ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ապահովելու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երկրորդ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բոլորապտույտը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սկսել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բոլորապտույտի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ավարտից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20-25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հաջորդ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բոլորապտույտները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35-40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անց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արոտավանդակներում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արածեցման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կազմի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բոլորապտույտում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2-3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հաջորդ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բոլորապտույտներում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3-5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օրից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18.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կենդանիների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մակատեղերը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գիշերավայրը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կառուցել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ջրելատեղերից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300-500 մ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հեռավորության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19.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Ջրելատեղերի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հեռավորությունն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լինի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հեռավորության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կթու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կովերի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1-1.5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կմ-ից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բտվող</w:t>
      </w:r>
      <w:proofErr w:type="spellEnd"/>
      <w:proofErr w:type="gram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խոշոր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մանր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եղջերավոր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կենդանիների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1.5-2.5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կմ-ից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20.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Արոտավանդակների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սահմանազատման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բնական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սահմաններ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ծառայել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արոտատարածքում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առկա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ձորակները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գետակները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հեղեղատները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թեքությունները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բացատները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թփուտները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ճանապարհները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բացակայության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օգտագործել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շարժական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ցանկապատեր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որոնցից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առավել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արդյունավետ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էլեկտրացանկապատերը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21.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Բնական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խոտհարքներն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խոտհնձի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Խոտհնձի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լավագույն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ժամկետ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բուսածածկում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գերակշռող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արժեքավոր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հացազգի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դաշտավլուկազգի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խոտաբույսերի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հասկակալումից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ծաղկման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թիթեռնածաղկավոր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բակլազգի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խոտաբույսերի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կոկոնակալումից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ծաղկման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փուլն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ընկած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ժամանակաշրջանը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22.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Բնական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խոտհարքներում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խոտհունձն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7-10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օրվա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երբ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բարձրությունը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հողի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մակերեսից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4</w:t>
      </w:r>
      <w:r w:rsidR="002A5841">
        <w:rPr>
          <w:rFonts w:ascii="Arial Unicode" w:eastAsia="Times New Roman" w:hAnsi="Arial Unicode" w:cs="Times New Roman"/>
          <w:color w:val="000000"/>
          <w:sz w:val="21"/>
          <w:szCs w:val="21"/>
        </w:rPr>
        <w:t>0</w:t>
      </w: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-6</w:t>
      </w:r>
      <w:r w:rsidR="002A5841">
        <w:rPr>
          <w:rFonts w:ascii="Arial Unicode" w:eastAsia="Times New Roman" w:hAnsi="Arial Unicode" w:cs="Times New Roman"/>
          <w:color w:val="000000"/>
          <w:sz w:val="21"/>
          <w:szCs w:val="21"/>
        </w:rPr>
        <w:t>0</w:t>
      </w: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23.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Բնական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խոտհարքներում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երրորդ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տարում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խոտհունձն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խոտհնձի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սեզոնի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վերջում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բույսերին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սերմնակալման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բնական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վերարտադրության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հնարավորություն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ընձեռելու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AD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D72E6" w:rsidRPr="00AD72E6" w:rsidRDefault="00AD72E6" w:rsidP="00AD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D72E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4860"/>
      </w:tblGrid>
      <w:tr w:rsidR="00AD72E6" w:rsidRPr="00AD72E6" w:rsidTr="00AD72E6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A5841" w:rsidRDefault="002A5841" w:rsidP="00AD72E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</w:pPr>
          </w:p>
          <w:p w:rsidR="002A5841" w:rsidRDefault="002A5841" w:rsidP="00AD72E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</w:pPr>
          </w:p>
          <w:p w:rsidR="002A5841" w:rsidRDefault="002A5841" w:rsidP="00AD72E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</w:pPr>
          </w:p>
          <w:p w:rsidR="00AD72E6" w:rsidRPr="00AD72E6" w:rsidRDefault="002A5841" w:rsidP="002A5841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Համայնքապետարանի</w:t>
            </w:r>
            <w:proofErr w:type="spellEnd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ա</w:t>
            </w:r>
            <w:r w:rsidR="00AD72E6" w:rsidRPr="00AD72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շխատակազմի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քարտուղար</w:t>
            </w:r>
            <w:proofErr w:type="spellEnd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D72E6" w:rsidRPr="00AD72E6" w:rsidRDefault="002A5841" w:rsidP="00AD72E6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Վ. </w:t>
            </w:r>
            <w:proofErr w:type="spellStart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Միրաբ</w:t>
            </w:r>
            <w:r w:rsidR="00AD72E6" w:rsidRPr="00AD72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յան</w:t>
            </w:r>
            <w:proofErr w:type="spellEnd"/>
          </w:p>
        </w:tc>
      </w:tr>
    </w:tbl>
    <w:p w:rsidR="00E72282" w:rsidRDefault="00E72282"/>
    <w:sectPr w:rsidR="00E72282" w:rsidSect="00E7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2E6"/>
    <w:rsid w:val="002A5841"/>
    <w:rsid w:val="00AD72E6"/>
    <w:rsid w:val="00E72282"/>
    <w:rsid w:val="00F3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7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2</cp:revision>
  <dcterms:created xsi:type="dcterms:W3CDTF">2018-05-05T07:31:00Z</dcterms:created>
  <dcterms:modified xsi:type="dcterms:W3CDTF">2018-05-05T07:51:00Z</dcterms:modified>
</cp:coreProperties>
</file>